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CellMar>
          <w:left w:w="57" w:type="dxa"/>
          <w:right w:w="57" w:type="dxa"/>
        </w:tblCellMar>
        <w:tblLook w:val="0000" w:firstRow="0" w:lastRow="0" w:firstColumn="0" w:lastColumn="0" w:noHBand="0" w:noVBand="0"/>
      </w:tblPr>
      <w:tblGrid>
        <w:gridCol w:w="1617"/>
        <w:gridCol w:w="567"/>
        <w:gridCol w:w="1984"/>
        <w:gridCol w:w="567"/>
        <w:gridCol w:w="1276"/>
        <w:gridCol w:w="3402"/>
        <w:gridCol w:w="510"/>
      </w:tblGrid>
      <w:tr w:rsidR="00762E0E">
        <w:trPr>
          <w:cantSplit/>
          <w:trHeight w:val="357"/>
        </w:trPr>
        <w:tc>
          <w:tcPr>
            <w:tcW w:w="1617" w:type="dxa"/>
            <w:tcBorders>
              <w:top w:val="single" w:sz="12" w:space="0" w:color="auto"/>
            </w:tcBorders>
          </w:tcPr>
          <w:p w:rsidR="00762E0E" w:rsidRDefault="00762E0E">
            <w:pPr>
              <w:rPr>
                <w:b/>
                <w:bCs/>
              </w:rPr>
            </w:pPr>
            <w:bookmarkStart w:id="0" w:name="dbluepink" w:colFirst="1" w:colLast="1"/>
            <w:bookmarkStart w:id="1" w:name="dtableau"/>
            <w:r>
              <w:rPr>
                <w:b/>
                <w:bCs/>
              </w:rPr>
              <w:t>Question(s):</w:t>
            </w:r>
          </w:p>
        </w:tc>
        <w:tc>
          <w:tcPr>
            <w:tcW w:w="2551" w:type="dxa"/>
            <w:gridSpan w:val="2"/>
            <w:tcBorders>
              <w:top w:val="single" w:sz="12" w:space="0" w:color="auto"/>
            </w:tcBorders>
          </w:tcPr>
          <w:p w:rsidR="00762E0E" w:rsidRDefault="003D6335">
            <w:r>
              <w:t>2</w:t>
            </w:r>
          </w:p>
        </w:tc>
        <w:tc>
          <w:tcPr>
            <w:tcW w:w="1843" w:type="dxa"/>
            <w:gridSpan w:val="2"/>
            <w:tcBorders>
              <w:top w:val="single" w:sz="12" w:space="0" w:color="auto"/>
            </w:tcBorders>
          </w:tcPr>
          <w:p w:rsidR="00762E0E" w:rsidRDefault="00762E0E">
            <w:pPr>
              <w:rPr>
                <w:b/>
                <w:bCs/>
              </w:rPr>
            </w:pPr>
            <w:r>
              <w:rPr>
                <w:b/>
                <w:bCs/>
              </w:rPr>
              <w:t>Meeting, date:</w:t>
            </w:r>
          </w:p>
        </w:tc>
        <w:tc>
          <w:tcPr>
            <w:tcW w:w="3912" w:type="dxa"/>
            <w:gridSpan w:val="2"/>
            <w:tcBorders>
              <w:top w:val="single" w:sz="12" w:space="0" w:color="auto"/>
            </w:tcBorders>
          </w:tcPr>
          <w:p w:rsidR="00762E0E" w:rsidRDefault="009A6DB6" w:rsidP="009A6DB6">
            <w:r>
              <w:t>28 October</w:t>
            </w:r>
            <w:r w:rsidR="003D6335" w:rsidRPr="003D6335">
              <w:t xml:space="preserve"> - </w:t>
            </w:r>
            <w:r>
              <w:t>8</w:t>
            </w:r>
            <w:r w:rsidR="003D6335" w:rsidRPr="003D6335">
              <w:t xml:space="preserve"> </w:t>
            </w:r>
            <w:r>
              <w:t>November</w:t>
            </w:r>
            <w:r w:rsidR="003D6335" w:rsidRPr="003D6335">
              <w:t xml:space="preserve"> 201</w:t>
            </w:r>
            <w:r>
              <w:t>3</w:t>
            </w:r>
          </w:p>
        </w:tc>
      </w:tr>
      <w:bookmarkEnd w:id="0"/>
      <w:tr w:rsidR="00762E0E">
        <w:trPr>
          <w:cantSplit/>
          <w:trHeight w:val="357"/>
        </w:trPr>
        <w:tc>
          <w:tcPr>
            <w:tcW w:w="1617" w:type="dxa"/>
          </w:tcPr>
          <w:p w:rsidR="00762E0E" w:rsidRDefault="00762E0E">
            <w:pPr>
              <w:rPr>
                <w:b/>
                <w:bCs/>
              </w:rPr>
            </w:pPr>
            <w:r>
              <w:rPr>
                <w:b/>
                <w:bCs/>
              </w:rPr>
              <w:t>Study Group:</w:t>
            </w:r>
          </w:p>
        </w:tc>
        <w:tc>
          <w:tcPr>
            <w:tcW w:w="567" w:type="dxa"/>
          </w:tcPr>
          <w:p w:rsidR="00762E0E" w:rsidRDefault="003D6335">
            <w:r>
              <w:t>16</w:t>
            </w:r>
          </w:p>
        </w:tc>
        <w:tc>
          <w:tcPr>
            <w:tcW w:w="1984" w:type="dxa"/>
          </w:tcPr>
          <w:p w:rsidR="00762E0E" w:rsidRDefault="00762E0E">
            <w:pPr>
              <w:rPr>
                <w:b/>
                <w:bCs/>
              </w:rPr>
            </w:pPr>
            <w:r>
              <w:rPr>
                <w:b/>
                <w:bCs/>
              </w:rPr>
              <w:t>Working Party:</w:t>
            </w:r>
          </w:p>
        </w:tc>
        <w:tc>
          <w:tcPr>
            <w:tcW w:w="567" w:type="dxa"/>
          </w:tcPr>
          <w:p w:rsidR="00762E0E" w:rsidRDefault="00132239">
            <w:r>
              <w:t>1</w:t>
            </w:r>
          </w:p>
        </w:tc>
        <w:tc>
          <w:tcPr>
            <w:tcW w:w="4678" w:type="dxa"/>
            <w:gridSpan w:val="2"/>
          </w:tcPr>
          <w:p w:rsidR="00762E0E" w:rsidRDefault="00762E0E">
            <w:r>
              <w:rPr>
                <w:b/>
                <w:bCs/>
              </w:rPr>
              <w:t>Intended type of document</w:t>
            </w:r>
            <w:r>
              <w:t xml:space="preserve"> (R-C-TD):</w:t>
            </w:r>
          </w:p>
        </w:tc>
        <w:tc>
          <w:tcPr>
            <w:tcW w:w="510" w:type="dxa"/>
          </w:tcPr>
          <w:p w:rsidR="00762E0E" w:rsidRDefault="003D6335">
            <w:r>
              <w:t>C</w:t>
            </w:r>
          </w:p>
        </w:tc>
      </w:tr>
      <w:tr w:rsidR="00762E0E">
        <w:trPr>
          <w:cantSplit/>
          <w:trHeight w:val="357"/>
        </w:trPr>
        <w:tc>
          <w:tcPr>
            <w:tcW w:w="1617" w:type="dxa"/>
          </w:tcPr>
          <w:p w:rsidR="00762E0E" w:rsidRDefault="00762E0E">
            <w:pPr>
              <w:rPr>
                <w:b/>
                <w:bCs/>
              </w:rPr>
            </w:pPr>
            <w:bookmarkStart w:id="2" w:name="dsource" w:colFirst="1" w:colLast="1"/>
            <w:r>
              <w:rPr>
                <w:b/>
                <w:bCs/>
              </w:rPr>
              <w:t>Source:</w:t>
            </w:r>
          </w:p>
        </w:tc>
        <w:tc>
          <w:tcPr>
            <w:tcW w:w="8306" w:type="dxa"/>
            <w:gridSpan w:val="6"/>
          </w:tcPr>
          <w:p w:rsidR="00762E0E" w:rsidRDefault="003D6335">
            <w:r>
              <w:t>Cisco Systems, Inc.</w:t>
            </w:r>
          </w:p>
        </w:tc>
      </w:tr>
      <w:tr w:rsidR="00762E0E">
        <w:trPr>
          <w:cantSplit/>
          <w:trHeight w:val="357"/>
        </w:trPr>
        <w:tc>
          <w:tcPr>
            <w:tcW w:w="1617" w:type="dxa"/>
            <w:tcBorders>
              <w:bottom w:val="single" w:sz="12" w:space="0" w:color="auto"/>
            </w:tcBorders>
          </w:tcPr>
          <w:p w:rsidR="00762E0E" w:rsidRDefault="00762E0E">
            <w:pPr>
              <w:rPr>
                <w:b/>
                <w:bCs/>
              </w:rPr>
            </w:pPr>
            <w:bookmarkStart w:id="3" w:name="dtitle1" w:colFirst="1" w:colLast="1"/>
            <w:bookmarkEnd w:id="2"/>
            <w:r>
              <w:rPr>
                <w:b/>
                <w:bCs/>
              </w:rPr>
              <w:t xml:space="preserve">Title: </w:t>
            </w:r>
          </w:p>
        </w:tc>
        <w:tc>
          <w:tcPr>
            <w:tcW w:w="8306" w:type="dxa"/>
            <w:gridSpan w:val="6"/>
            <w:tcBorders>
              <w:bottom w:val="single" w:sz="12" w:space="0" w:color="auto"/>
            </w:tcBorders>
          </w:tcPr>
          <w:p w:rsidR="00762E0E" w:rsidRDefault="00E3642F" w:rsidP="00812DA8">
            <w:r>
              <w:t>UR</w:t>
            </w:r>
            <w:r w:rsidR="00812DA8">
              <w:t>N</w:t>
            </w:r>
            <w:r>
              <w:t xml:space="preserve"> Identifiers in H.325</w:t>
            </w:r>
          </w:p>
        </w:tc>
      </w:tr>
      <w:tr w:rsidR="00762E0E">
        <w:trPr>
          <w:cantSplit/>
          <w:trHeight w:val="204"/>
        </w:trPr>
        <w:tc>
          <w:tcPr>
            <w:tcW w:w="1617" w:type="dxa"/>
            <w:tcBorders>
              <w:top w:val="single" w:sz="12" w:space="0" w:color="auto"/>
            </w:tcBorders>
          </w:tcPr>
          <w:p w:rsidR="00762E0E" w:rsidRDefault="00762E0E">
            <w:pPr>
              <w:rPr>
                <w:b/>
                <w:bCs/>
              </w:rPr>
            </w:pPr>
            <w:bookmarkStart w:id="4" w:name="dcontact"/>
            <w:bookmarkEnd w:id="3"/>
            <w:r>
              <w:rPr>
                <w:b/>
                <w:bCs/>
              </w:rPr>
              <w:t>Contact:</w:t>
            </w:r>
          </w:p>
        </w:tc>
        <w:tc>
          <w:tcPr>
            <w:tcW w:w="4394" w:type="dxa"/>
            <w:gridSpan w:val="4"/>
            <w:tcBorders>
              <w:top w:val="single" w:sz="12" w:space="0" w:color="auto"/>
            </w:tcBorders>
          </w:tcPr>
          <w:p w:rsidR="003D6335" w:rsidRDefault="003D6335" w:rsidP="003D6335">
            <w:r>
              <w:t>Paul E. Jones</w:t>
            </w:r>
            <w:r>
              <w:br/>
              <w:t>Cisco Systems, Inc.</w:t>
            </w:r>
          </w:p>
          <w:p w:rsidR="00762E0E" w:rsidRDefault="003D6335" w:rsidP="003D6335">
            <w:pPr>
              <w:spacing w:before="0"/>
            </w:pPr>
            <w:r>
              <w:t>USA</w:t>
            </w:r>
          </w:p>
        </w:tc>
        <w:tc>
          <w:tcPr>
            <w:tcW w:w="3912" w:type="dxa"/>
            <w:gridSpan w:val="2"/>
            <w:tcBorders>
              <w:top w:val="single" w:sz="12" w:space="0" w:color="auto"/>
            </w:tcBorders>
          </w:tcPr>
          <w:p w:rsidR="00762E0E" w:rsidRDefault="00762E0E">
            <w:r>
              <w:t>Tel:</w:t>
            </w:r>
            <w:r w:rsidR="003D6335">
              <w:tab/>
              <w:t>+1 919 476 2048</w:t>
            </w:r>
          </w:p>
          <w:p w:rsidR="00762E0E" w:rsidRDefault="00762E0E">
            <w:pPr>
              <w:spacing w:before="0"/>
            </w:pPr>
            <w:r>
              <w:t>Fax:</w:t>
            </w:r>
          </w:p>
          <w:p w:rsidR="00762E0E" w:rsidRDefault="00762E0E">
            <w:pPr>
              <w:spacing w:before="0"/>
            </w:pPr>
            <w:r>
              <w:t>Email:</w:t>
            </w:r>
            <w:r w:rsidR="003D6335">
              <w:tab/>
              <w:t>paulej@packetizer.com</w:t>
            </w:r>
          </w:p>
        </w:tc>
      </w:tr>
      <w:tr w:rsidR="00762E0E">
        <w:trPr>
          <w:cantSplit/>
          <w:trHeight w:val="204"/>
        </w:trPr>
        <w:tc>
          <w:tcPr>
            <w:tcW w:w="1617" w:type="dxa"/>
            <w:tcBorders>
              <w:top w:val="single" w:sz="12" w:space="0" w:color="auto"/>
            </w:tcBorders>
          </w:tcPr>
          <w:p w:rsidR="00762E0E" w:rsidRDefault="00762E0E">
            <w:pPr>
              <w:rPr>
                <w:b/>
                <w:bCs/>
              </w:rPr>
            </w:pPr>
            <w:bookmarkStart w:id="5" w:name="dcontact1"/>
            <w:bookmarkStart w:id="6" w:name="dcontent" w:colFirst="1" w:colLast="1"/>
            <w:bookmarkEnd w:id="4"/>
            <w:r>
              <w:rPr>
                <w:b/>
                <w:bCs/>
              </w:rPr>
              <w:t>Contact:</w:t>
            </w:r>
          </w:p>
        </w:tc>
        <w:tc>
          <w:tcPr>
            <w:tcW w:w="4394" w:type="dxa"/>
            <w:gridSpan w:val="4"/>
            <w:tcBorders>
              <w:top w:val="single" w:sz="12" w:space="0" w:color="auto"/>
            </w:tcBorders>
          </w:tcPr>
          <w:p w:rsidR="00762E0E" w:rsidRDefault="00762E0E"/>
          <w:p w:rsidR="00762E0E" w:rsidRDefault="00762E0E">
            <w:pPr>
              <w:spacing w:before="0"/>
            </w:pPr>
          </w:p>
          <w:p w:rsidR="00762E0E" w:rsidRDefault="00762E0E">
            <w:pPr>
              <w:spacing w:before="0"/>
            </w:pPr>
          </w:p>
        </w:tc>
        <w:tc>
          <w:tcPr>
            <w:tcW w:w="3912" w:type="dxa"/>
            <w:gridSpan w:val="2"/>
            <w:tcBorders>
              <w:top w:val="single" w:sz="12" w:space="0" w:color="auto"/>
            </w:tcBorders>
          </w:tcPr>
          <w:p w:rsidR="00762E0E" w:rsidRDefault="00762E0E">
            <w:r>
              <w:t>Tel:</w:t>
            </w:r>
          </w:p>
          <w:p w:rsidR="00762E0E" w:rsidRDefault="00762E0E">
            <w:pPr>
              <w:spacing w:before="0"/>
            </w:pPr>
            <w:r>
              <w:t>Fax:</w:t>
            </w:r>
          </w:p>
          <w:p w:rsidR="00762E0E" w:rsidRDefault="00762E0E">
            <w:pPr>
              <w:spacing w:before="0"/>
            </w:pPr>
            <w:r>
              <w:t>Email:</w:t>
            </w:r>
          </w:p>
        </w:tc>
      </w:tr>
      <w:bookmarkEnd w:id="5"/>
      <w:bookmarkEnd w:id="6"/>
      <w:tr w:rsidR="00762E0E">
        <w:trPr>
          <w:cantSplit/>
          <w:trHeight w:val="204"/>
        </w:trPr>
        <w:tc>
          <w:tcPr>
            <w:tcW w:w="9923" w:type="dxa"/>
            <w:gridSpan w:val="7"/>
            <w:tcBorders>
              <w:top w:val="single" w:sz="12" w:space="0" w:color="auto"/>
            </w:tcBorders>
          </w:tcPr>
          <w:p w:rsidR="00762E0E" w:rsidRDefault="00762E0E">
            <w:pPr>
              <w:spacing w:before="0"/>
              <w:rPr>
                <w:sz w:val="18"/>
              </w:rPr>
            </w:pPr>
            <w:r>
              <w:rPr>
                <w:sz w:val="18"/>
              </w:rPr>
              <w:t>Please don’t change the structure of this table, just insert the necessary information.</w:t>
            </w:r>
          </w:p>
        </w:tc>
      </w:tr>
    </w:tbl>
    <w:bookmarkEnd w:id="1"/>
    <w:p w:rsidR="00762E0E" w:rsidRDefault="001F406E" w:rsidP="001F406E">
      <w:pPr>
        <w:pStyle w:val="Heading1"/>
      </w:pPr>
      <w:r>
        <w:t>Background</w:t>
      </w:r>
    </w:p>
    <w:p w:rsidR="001F406E" w:rsidRDefault="001F406E">
      <w:r>
        <w:t>During the recent meeting of Q2/16 in Oslo, Norway</w:t>
      </w:r>
      <w:r w:rsidR="00E3642F">
        <w:t xml:space="preserve">, </w:t>
      </w:r>
      <w:r>
        <w:t>experts discussed possible ways to identify protocol parameters, capabilities, etc. within H.325.  For example, if an application would like to advertise itself as the “video” application, how does it do that?  If the video application would like to advertise a set of capabilities, how are those capabilities identified?</w:t>
      </w:r>
    </w:p>
    <w:p w:rsidR="001F406E" w:rsidRDefault="001F406E">
      <w:r>
        <w:t>Within H.323 systems, the answer to those questions vary.  Sometimes we utilize an OID, sometimes we utilize a</w:t>
      </w:r>
      <w:r w:rsidR="00FD15A2">
        <w:t xml:space="preserve"> single</w:t>
      </w:r>
      <w:r>
        <w:t xml:space="preserve"> integer, and sometimes capabilities are defined within the ASN.1 syntax.</w:t>
      </w:r>
    </w:p>
    <w:p w:rsidR="001F406E" w:rsidRDefault="001F406E">
      <w:r>
        <w:t xml:space="preserve">For H.325, we </w:t>
      </w:r>
      <w:r w:rsidR="00E3642F">
        <w:t>could</w:t>
      </w:r>
      <w:r>
        <w:t xml:space="preserve"> use a mixture of identifiers, as well.  Since H.325 will be specified using JSON, we </w:t>
      </w:r>
      <w:r w:rsidR="00E3642F">
        <w:t>c</w:t>
      </w:r>
      <w:r>
        <w:t>ould consider string identifiers and integers. Integers work well within the context of a single application in some cases, but</w:t>
      </w:r>
      <w:r w:rsidR="00E3642F">
        <w:t xml:space="preserve"> are not well-suited for capability advertisement</w:t>
      </w:r>
      <w:r w:rsidR="00FD15A2">
        <w:t xml:space="preserve"> since meaning would be ambiguous</w:t>
      </w:r>
      <w:r w:rsidR="00E3642F">
        <w:t>.  For this, we need to utilize a text string with defined structure</w:t>
      </w:r>
      <w:r>
        <w:t>.</w:t>
      </w:r>
    </w:p>
    <w:p w:rsidR="001A166D" w:rsidRDefault="001A166D">
      <w:r>
        <w:t xml:space="preserve">As a possible solution, we discussed identifying capabilities and features using URIs.  URIs </w:t>
      </w:r>
      <w:r w:rsidR="00E3642F">
        <w:t xml:space="preserve">would </w:t>
      </w:r>
      <w:r>
        <w:t xml:space="preserve">enable the ITU-T or software developers to identify capabilities </w:t>
      </w:r>
      <w:r w:rsidR="00E3642F">
        <w:t xml:space="preserve">and features </w:t>
      </w:r>
      <w:r>
        <w:t xml:space="preserve">within a namespace each controls.  URIs are </w:t>
      </w:r>
      <w:r w:rsidR="00E3642F">
        <w:t xml:space="preserve">structured </w:t>
      </w:r>
      <w:r>
        <w:t xml:space="preserve">text strings </w:t>
      </w:r>
      <w:r w:rsidR="00E3642F">
        <w:t>that are</w:t>
      </w:r>
      <w:r>
        <w:t xml:space="preserve"> well-suited for use in JSON.</w:t>
      </w:r>
    </w:p>
    <w:p w:rsidR="00A92B09" w:rsidRDefault="00A92B09" w:rsidP="00A92B09">
      <w:pPr>
        <w:pStyle w:val="Heading1"/>
      </w:pPr>
      <w:r>
        <w:t>Discussion</w:t>
      </w:r>
    </w:p>
    <w:p w:rsidR="001A166D" w:rsidRDefault="001A166D">
      <w:r>
        <w:t xml:space="preserve">The question </w:t>
      </w:r>
      <w:r w:rsidR="00A92B09">
        <w:t xml:space="preserve">before us now is </w:t>
      </w:r>
      <w:r>
        <w:t>which URI scheme(s) to utilize.  Since these URIs are only used as identifiers, it makes little difference</w:t>
      </w:r>
      <w:r w:rsidR="00A92B09">
        <w:t xml:space="preserve"> to the processing entities</w:t>
      </w:r>
      <w:r>
        <w:t>.  The receiver of these URIs will just perform a simple string comparison when looking for particular features or capabilities.</w:t>
      </w:r>
    </w:p>
    <w:p w:rsidR="001A166D" w:rsidRDefault="001A166D">
      <w:r>
        <w:t>Considering the H.325 “video</w:t>
      </w:r>
      <w:r w:rsidR="00E3642F">
        <w:t>”</w:t>
      </w:r>
      <w:r>
        <w:t xml:space="preserve"> application as an example,</w:t>
      </w:r>
      <w:r w:rsidR="00A92B09">
        <w:t xml:space="preserve"> we could utilize:</w:t>
      </w:r>
    </w:p>
    <w:p w:rsidR="00A92B09" w:rsidRDefault="00A92B09" w:rsidP="00A92B09">
      <w:pPr>
        <w:pStyle w:val="ListParagraph"/>
        <w:numPr>
          <w:ilvl w:val="0"/>
          <w:numId w:val="6"/>
        </w:numPr>
      </w:pPr>
      <w:r>
        <w:t>http://itu.int/ns/h</w:t>
      </w:r>
      <w:r w:rsidR="00FE72A3">
        <w:t>.</w:t>
      </w:r>
      <w:r>
        <w:t>325/video</w:t>
      </w:r>
    </w:p>
    <w:p w:rsidR="00A92B09" w:rsidRDefault="00A92B09" w:rsidP="00A92B09">
      <w:pPr>
        <w:pStyle w:val="ListParagraph"/>
        <w:numPr>
          <w:ilvl w:val="0"/>
          <w:numId w:val="6"/>
        </w:numPr>
      </w:pPr>
      <w:r>
        <w:t>urn:oid:0.0.8.325.1.0</w:t>
      </w:r>
    </w:p>
    <w:p w:rsidR="00A92B09" w:rsidRDefault="00A92B09" w:rsidP="00A92B09">
      <w:pPr>
        <w:pStyle w:val="ListParagraph"/>
        <w:numPr>
          <w:ilvl w:val="0"/>
          <w:numId w:val="6"/>
        </w:numPr>
      </w:pPr>
      <w:r>
        <w:t>urn:itu:t:</w:t>
      </w:r>
      <w:r w:rsidR="00FD15A2">
        <w:t>rec:</w:t>
      </w:r>
      <w:r>
        <w:t>h.325</w:t>
      </w:r>
      <w:r w:rsidR="00FD15A2">
        <w:t>:p:</w:t>
      </w:r>
      <w:r>
        <w:t>video</w:t>
      </w:r>
    </w:p>
    <w:p w:rsidR="00A92B09" w:rsidRDefault="00A92B09">
      <w:r>
        <w:t>While all of these are fictitious, they are nonetheless reasonable sample representatives of the types of URIs we could utilize.</w:t>
      </w:r>
    </w:p>
    <w:p w:rsidR="00A92B09" w:rsidRDefault="00A92B09">
      <w:r>
        <w:t>The “http” scheme is in</w:t>
      </w:r>
      <w:bookmarkStart w:id="7" w:name="_GoBack"/>
      <w:bookmarkEnd w:id="7"/>
      <w:r>
        <w:t xml:space="preserve">teresting since it could be utilized outside of H.325 to enable a human to learn more about the particular identifier.  As an example, see </w:t>
      </w:r>
      <w:hyperlink r:id="rId7" w:history="1">
        <w:r w:rsidRPr="00C96050">
          <w:rPr>
            <w:rStyle w:val="Hyperlink"/>
          </w:rPr>
          <w:t>http://packetizer.com/ns/activated</w:t>
        </w:r>
      </w:hyperlink>
      <w:r>
        <w:t>.</w:t>
      </w:r>
    </w:p>
    <w:p w:rsidR="00A92B09" w:rsidRDefault="00A92B09">
      <w:r>
        <w:t>The URN “</w:t>
      </w:r>
      <w:proofErr w:type="spellStart"/>
      <w:r>
        <w:t>oid</w:t>
      </w:r>
      <w:proofErr w:type="spellEnd"/>
      <w:r>
        <w:t>” namespace</w:t>
      </w:r>
      <w:r w:rsidR="00714987">
        <w:t xml:space="preserve"> (IETF RFC 3061)</w:t>
      </w:r>
      <w:r>
        <w:t xml:space="preserve"> has certain appeal since we use OIDs within H.323 systems today.  </w:t>
      </w:r>
      <w:r w:rsidR="00E3642F">
        <w:t xml:space="preserve">A </w:t>
      </w:r>
      <w:r w:rsidR="00714987">
        <w:t xml:space="preserve">concern with using OIDs, particularly in a protocol like H.325, is that the text </w:t>
      </w:r>
      <w:r w:rsidR="00714987">
        <w:lastRenderedPageBreak/>
        <w:t>strings are somewhat cryptic.  If you compare the “</w:t>
      </w:r>
      <w:proofErr w:type="spellStart"/>
      <w:r w:rsidR="00714987">
        <w:t>oid</w:t>
      </w:r>
      <w:proofErr w:type="spellEnd"/>
      <w:r w:rsidR="00714987">
        <w:t xml:space="preserve">” URN with the other two alternatives, that </w:t>
      </w:r>
      <w:r w:rsidR="00E3642F">
        <w:t>is</w:t>
      </w:r>
      <w:r w:rsidR="00714987">
        <w:t xml:space="preserve"> clear.  OIDs are well suited for compact encoding in H.323 systems, but neither </w:t>
      </w:r>
      <w:r w:rsidR="00FD15A2">
        <w:t xml:space="preserve">significant </w:t>
      </w:r>
      <w:r w:rsidR="00714987">
        <w:t>space nor readability benefits exit with the “</w:t>
      </w:r>
      <w:proofErr w:type="spellStart"/>
      <w:r w:rsidR="00714987">
        <w:t>oid</w:t>
      </w:r>
      <w:proofErr w:type="spellEnd"/>
      <w:r w:rsidR="00714987">
        <w:t>” URNs.</w:t>
      </w:r>
      <w:r>
        <w:t xml:space="preserve"> </w:t>
      </w:r>
    </w:p>
    <w:p w:rsidR="001A166D" w:rsidRDefault="00714987">
      <w:r>
        <w:t>The last example shows a URN that utilizes the “</w:t>
      </w:r>
      <w:proofErr w:type="spellStart"/>
      <w:r>
        <w:t>itu</w:t>
      </w:r>
      <w:proofErr w:type="spellEnd"/>
      <w:r>
        <w:t>” namespace.  This one does not offer any particular advantage over the “http” variant</w:t>
      </w:r>
      <w:r w:rsidR="00E3642F">
        <w:t xml:space="preserve"> in terms of readability or utility outside H.325</w:t>
      </w:r>
      <w:r>
        <w:t xml:space="preserve">.  However, in consulting experts </w:t>
      </w:r>
      <w:r w:rsidR="000D0B7D">
        <w:t>in this area</w:t>
      </w:r>
      <w:r>
        <w:t>, it was generally viewed that URNs are the best choice for the task at hand since URNs are identifiers</w:t>
      </w:r>
      <w:r w:rsidR="000D0B7D">
        <w:t xml:space="preserve"> that are independent from a particular protocol and </w:t>
      </w:r>
      <w:r>
        <w:t>persist through time</w:t>
      </w:r>
      <w:r w:rsidR="000D0B7D">
        <w:t xml:space="preserve">.  </w:t>
      </w:r>
      <w:r>
        <w:t>Plus if structured properly, URNs can help software developers and those trying to troubleshoot the protocol since the te</w:t>
      </w:r>
      <w:r w:rsidR="000D0B7D">
        <w:t>x</w:t>
      </w:r>
      <w:r>
        <w:t>t strings are readable by humans and should be generally understood.</w:t>
      </w:r>
    </w:p>
    <w:p w:rsidR="00714987" w:rsidRDefault="00714987" w:rsidP="00714987">
      <w:pPr>
        <w:pStyle w:val="Heading1"/>
      </w:pPr>
      <w:r>
        <w:t>Proposal</w:t>
      </w:r>
    </w:p>
    <w:p w:rsidR="00E4343B" w:rsidRDefault="00714987" w:rsidP="00714987">
      <w:r>
        <w:t>This contribution proposes the use of URNs in the “</w:t>
      </w:r>
      <w:proofErr w:type="spellStart"/>
      <w:r>
        <w:t>itu</w:t>
      </w:r>
      <w:proofErr w:type="spellEnd"/>
      <w:r>
        <w:t>” namespace for use within H.325 core specifications and application protocols defined by the ITU.  (This proposal does not intend to restrict use of any particular URI scheme from being used by any third-party application.)  In order to utilize the “</w:t>
      </w:r>
      <w:proofErr w:type="spellStart"/>
      <w:r>
        <w:t>itu</w:t>
      </w:r>
      <w:proofErr w:type="spellEnd"/>
      <w:r>
        <w:t xml:space="preserve">” namespace, however, it will first be necessary to register the namespace with IANA as per the procedures described in IETF RFC 3406.  An initial proposal is attached to this contribution, which must be submitted to the IETF </w:t>
      </w:r>
      <w:r w:rsidR="00E4343B">
        <w:t>for review and publication.</w:t>
      </w:r>
    </w:p>
    <w:p w:rsidR="00E4343B" w:rsidRPr="00714987" w:rsidRDefault="00E4343B" w:rsidP="00E4343B">
      <w:pPr>
        <w:jc w:val="center"/>
      </w:pPr>
      <w:r>
        <w:t>_____________________</w:t>
      </w:r>
    </w:p>
    <w:p w:rsidR="00714987" w:rsidRDefault="00714987"/>
    <w:sectPr w:rsidR="00714987">
      <w:headerReference w:type="default" r:id="rId8"/>
      <w:pgSz w:w="11907" w:h="16840"/>
      <w:pgMar w:top="1418" w:right="1134" w:bottom="1418"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20455" w:rsidRDefault="00B20455">
      <w:r>
        <w:separator/>
      </w:r>
    </w:p>
  </w:endnote>
  <w:endnote w:type="continuationSeparator" w:id="0">
    <w:p w:rsidR="00B20455" w:rsidRDefault="00B20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20455" w:rsidRDefault="00B20455">
      <w:r>
        <w:separator/>
      </w:r>
    </w:p>
  </w:footnote>
  <w:footnote w:type="continuationSeparator" w:id="0">
    <w:p w:rsidR="00B20455" w:rsidRDefault="00B204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2E0E" w:rsidRDefault="00762E0E">
    <w:pPr>
      <w:jc w:val="center"/>
    </w:pPr>
    <w:r>
      <w:t xml:space="preserve">- </w:t>
    </w:r>
    <w:r w:rsidR="003D6335">
      <w:fldChar w:fldCharType="begin"/>
    </w:r>
    <w:r w:rsidR="003D6335">
      <w:instrText xml:space="preserve"> PAGE </w:instrText>
    </w:r>
    <w:r w:rsidR="003D6335">
      <w:fldChar w:fldCharType="separate"/>
    </w:r>
    <w:r w:rsidR="00FE72A3">
      <w:rPr>
        <w:noProof/>
      </w:rPr>
      <w:t>1</w:t>
    </w:r>
    <w:r w:rsidR="003D6335">
      <w:rPr>
        <w:noProof/>
      </w:rPr>
      <w:fldChar w:fldCharType="end"/>
    </w: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36C8479E"/>
    <w:multiLevelType w:val="hybridMultilevel"/>
    <w:tmpl w:val="0C82174C"/>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5"/>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FBF"/>
    <w:rsid w:val="000D0B7D"/>
    <w:rsid w:val="00132239"/>
    <w:rsid w:val="001A166D"/>
    <w:rsid w:val="001B03C5"/>
    <w:rsid w:val="001F406E"/>
    <w:rsid w:val="003D6335"/>
    <w:rsid w:val="005D02FE"/>
    <w:rsid w:val="00714987"/>
    <w:rsid w:val="00762E0E"/>
    <w:rsid w:val="0076427A"/>
    <w:rsid w:val="00812DA8"/>
    <w:rsid w:val="0098427A"/>
    <w:rsid w:val="009A6DB6"/>
    <w:rsid w:val="00A92B09"/>
    <w:rsid w:val="00B20455"/>
    <w:rsid w:val="00C51AEE"/>
    <w:rsid w:val="00CC5FBF"/>
    <w:rsid w:val="00E3642F"/>
    <w:rsid w:val="00E4343B"/>
    <w:rsid w:val="00EF767A"/>
    <w:rsid w:val="00FD15A2"/>
    <w:rsid w:val="00FE72A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B8E2BCC1-4042-485A-8104-3B55AD7F41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basedOn w:val="DefaultParagraphFont"/>
    <w:rPr>
      <w:rFonts w:ascii="Times New Roman" w:hAnsi="Times New Roman"/>
      <w:b/>
    </w:rPr>
  </w:style>
  <w:style w:type="paragraph" w:customStyle="1" w:styleId="Artheading">
    <w:name w:val="Art_heading"/>
    <w:basedOn w:val="Normal"/>
    <w:next w:val="Normal"/>
    <w:pPr>
      <w:spacing w:before="480"/>
      <w:jc w:val="center"/>
    </w:pPr>
    <w:rPr>
      <w:b/>
      <w:sz w:val="28"/>
    </w:rPr>
  </w:style>
  <w:style w:type="paragraph" w:customStyle="1" w:styleId="ArtNo">
    <w:name w:val="Art_No"/>
    <w:basedOn w:val="Normal"/>
    <w:next w:val="Normal"/>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pPr>
      <w:keepNext/>
      <w:keepLines/>
      <w:spacing w:before="240"/>
      <w:jc w:val="center"/>
    </w:pPr>
    <w:rPr>
      <w:b/>
      <w:sz w:val="28"/>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pPr>
      <w:keepNext/>
      <w:keepLines/>
      <w:spacing w:before="160"/>
      <w:ind w:left="794"/>
    </w:pPr>
    <w:rPr>
      <w:i/>
    </w:rPr>
  </w:style>
  <w:style w:type="paragraph" w:customStyle="1" w:styleId="ChapNo">
    <w:name w:val="Chap_No"/>
    <w:basedOn w:val="Normal"/>
    <w:next w:val="Normal"/>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character" w:styleId="EndnoteReference">
    <w:name w:val="endnote reference"/>
    <w:basedOn w:val="DefaultParagraphFont"/>
    <w:semiHidden/>
    <w:rPr>
      <w:vertAlign w:val="superscript"/>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pPr>
      <w:keepNext/>
      <w:keepLines/>
      <w:spacing w:before="480" w:after="80"/>
      <w:jc w:val="center"/>
    </w:pPr>
    <w:rPr>
      <w:caps/>
      <w:sz w:val="28"/>
    </w:rPr>
  </w:style>
  <w:style w:type="paragraph" w:customStyle="1" w:styleId="Partref">
    <w:name w:val="Part_ref"/>
    <w:basedOn w:val="Normal"/>
    <w:next w:val="Normal"/>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character" w:customStyle="1" w:styleId="Recdef">
    <w:name w:val="Rec_def"/>
    <w:basedOn w:val="DefaultParagraphFont"/>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style>
  <w:style w:type="paragraph" w:customStyle="1" w:styleId="RepNo">
    <w:name w:val="Rep_No"/>
    <w:basedOn w:val="RecNo"/>
    <w:next w:val="Normal"/>
  </w:style>
  <w:style w:type="paragraph" w:customStyle="1" w:styleId="RepNoBR">
    <w:name w:val="Rep_No_BR"/>
    <w:basedOn w:val="RecNoBR"/>
    <w:next w:val="Normal"/>
  </w:style>
  <w:style w:type="paragraph" w:customStyle="1" w:styleId="Repref">
    <w:name w:val="Rep_ref"/>
    <w:basedOn w:val="Recref"/>
    <w:next w:val="Repdate"/>
  </w:style>
  <w:style w:type="paragraph" w:customStyle="1" w:styleId="Reptitle">
    <w:name w:val="Rep_title"/>
    <w:basedOn w:val="Rectitle"/>
    <w:next w:val="Repref"/>
  </w:style>
  <w:style w:type="paragraph" w:customStyle="1" w:styleId="Resdate">
    <w:name w:val="Res_date"/>
    <w:basedOn w:val="Recdate"/>
    <w:next w:val="Normalaftertitle"/>
  </w:style>
  <w:style w:type="character" w:customStyle="1" w:styleId="Resdef">
    <w:name w:val="Res_def"/>
    <w:basedOn w:val="DefaultParagraphFont"/>
    <w:rPr>
      <w:rFonts w:ascii="Times New Roman" w:hAnsi="Times New Roman"/>
      <w:b/>
    </w:rPr>
  </w:style>
  <w:style w:type="paragraph" w:customStyle="1" w:styleId="ResNo">
    <w:name w:val="Res_No"/>
    <w:basedOn w:val="RecNo"/>
    <w:next w:val="Normal"/>
  </w:style>
  <w:style w:type="paragraph" w:customStyle="1" w:styleId="ResNoBR">
    <w:name w:val="Res_No_BR"/>
    <w:basedOn w:val="RecNoBR"/>
    <w:next w:val="Normal"/>
  </w:style>
  <w:style w:type="paragraph" w:customStyle="1" w:styleId="Resref">
    <w:name w:val="Res_ref"/>
    <w:basedOn w:val="Recref"/>
    <w:next w:val="Resdate"/>
  </w:style>
  <w:style w:type="paragraph" w:customStyle="1" w:styleId="Restitle">
    <w:name w:val="Res_title"/>
    <w:basedOn w:val="Rectitle"/>
    <w:next w:val="Resref"/>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styleId="ListParagraph">
    <w:name w:val="List Paragraph"/>
    <w:basedOn w:val="Normal"/>
    <w:uiPriority w:val="34"/>
    <w:qFormat/>
    <w:rsid w:val="00A92B09"/>
    <w:pPr>
      <w:ind w:left="720"/>
      <w:contextualSpacing/>
    </w:pPr>
  </w:style>
  <w:style w:type="character" w:styleId="Hyperlink">
    <w:name w:val="Hyperlink"/>
    <w:basedOn w:val="DefaultParagraphFont"/>
    <w:unhideWhenUsed/>
    <w:rsid w:val="00A92B0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packetizer.com/ns/activate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Documents\Standards%20Work\ITU\2013\Baggage\Templates\ItutBasic-Template%20-%20pej.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 - pej.dotx</Template>
  <TotalTime>24</TotalTime>
  <Pages>2</Pages>
  <Words>628</Words>
  <Characters>3505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UIT</Company>
  <LinksUpToDate>false</LinksUpToDate>
  <CharactersWithSpaces>4125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URN Identifiers in H.325</dc:title>
  <dc:creator>Paul E. Jones</dc:creator>
  <cp:lastModifiedBy>Paul E. Jones</cp:lastModifiedBy>
  <cp:revision>7</cp:revision>
  <cp:lastPrinted>2002-08-01T07:30:00Z</cp:lastPrinted>
  <dcterms:created xsi:type="dcterms:W3CDTF">2013-10-09T04:30:00Z</dcterms:created>
  <dcterms:modified xsi:type="dcterms:W3CDTF">2013-10-09T20:59:00Z</dcterms:modified>
</cp:coreProperties>
</file>